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7B562B" w:rsidRDefault="00F92268" w:rsidP="00850792">
      <w:pPr>
        <w:pStyle w:val="BodyText"/>
        <w:rPr>
          <w:sz w:val="6"/>
          <w:szCs w:val="6"/>
        </w:rPr>
      </w:pPr>
      <w:r w:rsidRPr="007B562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7B562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7B562B" w:rsidRDefault="00F92268" w:rsidP="00F246C7">
            <w:pPr>
              <w:pStyle w:val="RefTableData"/>
            </w:pPr>
            <w:r w:rsidRPr="007B562B">
              <w:t>Reference number(s)</w:t>
            </w:r>
          </w:p>
        </w:tc>
      </w:tr>
      <w:tr w:rsidR="00F92268" w:rsidRPr="007B562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55200A8" w:rsidR="00F92268" w:rsidRPr="007B562B" w:rsidRDefault="00397E6C" w:rsidP="00F246C7">
            <w:pPr>
              <w:pStyle w:val="RefTableHeader"/>
            </w:pPr>
            <w:r w:rsidRPr="007B562B">
              <w:rPr>
                <w:rStyle w:val="normaltextrun"/>
                <w:color w:val="000000"/>
                <w:shd w:val="clear" w:color="auto" w:fill="FFFFFF"/>
              </w:rPr>
              <w:t>3374-A</w:t>
            </w:r>
            <w:r w:rsidRPr="007B562B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14:paraId="74FBA5B4" w14:textId="77777777" w:rsidR="00051356" w:rsidRPr="007B562B" w:rsidRDefault="00051356" w:rsidP="00A672B3">
      <w:pPr>
        <w:pStyle w:val="BodyText"/>
        <w:rPr>
          <w:b/>
          <w:bCs/>
          <w:sz w:val="16"/>
          <w:szCs w:val="16"/>
        </w:rPr>
        <w:sectPr w:rsidR="00051356" w:rsidRPr="007B562B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FDA8D14" w:rsidR="004B15BB" w:rsidRPr="00282B42" w:rsidRDefault="00D56A17" w:rsidP="00282B42">
      <w:pPr>
        <w:pStyle w:val="Heading1"/>
        <w:rPr>
          <w:color w:val="C00000"/>
        </w:rPr>
      </w:pPr>
      <w:proofErr w:type="spellStart"/>
      <w:r w:rsidRPr="007B562B">
        <w:t>Speciality</w:t>
      </w:r>
      <w:proofErr w:type="spellEnd"/>
      <w:r w:rsidRPr="007B562B">
        <w:t xml:space="preserve"> Guideline </w:t>
      </w:r>
      <w:r w:rsidR="00FC6523" w:rsidRPr="007B562B">
        <w:t>Management</w:t>
      </w:r>
      <w:r w:rsidR="00282B42">
        <w:rPr>
          <w:color w:val="C00000"/>
        </w:rPr>
        <w:br/>
      </w:r>
      <w:r w:rsidR="00FC6523" w:rsidRPr="007B562B">
        <w:t>Trikafta</w:t>
      </w:r>
    </w:p>
    <w:p w14:paraId="78861C92" w14:textId="46719C1B" w:rsidR="00203468" w:rsidRPr="007B562B" w:rsidRDefault="00C64534" w:rsidP="008E0F0D">
      <w:pPr>
        <w:pStyle w:val="Heading2"/>
      </w:pPr>
      <w:r w:rsidRPr="007B562B">
        <w:t xml:space="preserve">Products Referenced by this </w:t>
      </w:r>
      <w:r w:rsidR="00501602" w:rsidRPr="007B562B">
        <w:t>Document</w:t>
      </w:r>
    </w:p>
    <w:p w14:paraId="5455152B" w14:textId="327B787B" w:rsidR="008E0F0D" w:rsidRPr="007B562B" w:rsidRDefault="00D82D85" w:rsidP="008B73E8">
      <w:pPr>
        <w:pStyle w:val="BodyText"/>
      </w:pPr>
      <w:r w:rsidRPr="007B562B">
        <w:t xml:space="preserve">Drugs that are listed in the </w:t>
      </w:r>
      <w:r w:rsidR="000315F1" w:rsidRPr="007B562B">
        <w:t>following table</w:t>
      </w:r>
      <w:r w:rsidRPr="007B562B">
        <w:t xml:space="preserve"> include both brand and generic and all dosage forms and strengths unless otherwise stated. </w:t>
      </w:r>
      <w:r w:rsidR="005A7010">
        <w:t>Over-the-counter (</w:t>
      </w:r>
      <w:r w:rsidRPr="007B562B">
        <w:t>OTC</w:t>
      </w:r>
      <w:r w:rsidR="005A7010">
        <w:t>)</w:t>
      </w:r>
      <w:r w:rsidRPr="007B562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7B562B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7B562B" w:rsidRDefault="00252CE1" w:rsidP="00AA1E6A">
            <w:pPr>
              <w:pStyle w:val="TableHeader"/>
            </w:pPr>
            <w:bookmarkStart w:id="0" w:name="_Hlk159603270"/>
            <w:r w:rsidRPr="007B562B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7B562B" w:rsidRDefault="00252CE1" w:rsidP="00AA1E6A">
            <w:pPr>
              <w:pStyle w:val="TableHeader"/>
            </w:pPr>
            <w:r w:rsidRPr="007B562B">
              <w:t>Generic Name</w:t>
            </w:r>
          </w:p>
        </w:tc>
      </w:tr>
      <w:tr w:rsidR="00585FFF" w:rsidRPr="007B562B" w14:paraId="2AD5C02D" w14:textId="77777777" w:rsidTr="000C5A6F">
        <w:trPr>
          <w:cantSplit/>
        </w:trPr>
        <w:tc>
          <w:tcPr>
            <w:tcW w:w="5265" w:type="dxa"/>
          </w:tcPr>
          <w:p w14:paraId="2D8FA8E3" w14:textId="656EE620" w:rsidR="00585FFF" w:rsidRPr="007B562B" w:rsidRDefault="00BC7C07" w:rsidP="00E82ABA">
            <w:pPr>
              <w:pStyle w:val="TableDataUnpadded"/>
            </w:pPr>
            <w:r w:rsidRPr="007B562B">
              <w:t>Trikafta</w:t>
            </w:r>
          </w:p>
        </w:tc>
        <w:tc>
          <w:tcPr>
            <w:tcW w:w="5595" w:type="dxa"/>
          </w:tcPr>
          <w:p w14:paraId="7E26A004" w14:textId="67FBD8FB" w:rsidR="00585FFF" w:rsidRPr="001774E7" w:rsidRDefault="00BC7C07" w:rsidP="00E82ABA">
            <w:pPr>
              <w:pStyle w:val="TableDataUnpadded"/>
            </w:pPr>
            <w:r w:rsidRPr="001774E7">
              <w:rPr>
                <w:rStyle w:val="normaltextrun"/>
                <w:color w:val="000000"/>
                <w:shd w:val="clear" w:color="auto" w:fill="FFFFFF"/>
              </w:rPr>
              <w:t>elexacaftor/tezacaftor/ivacaftor</w:t>
            </w:r>
          </w:p>
        </w:tc>
      </w:tr>
    </w:tbl>
    <w:bookmarkEnd w:id="0"/>
    <w:p w14:paraId="14CE6108" w14:textId="26FE7A15" w:rsidR="00FC1AAD" w:rsidRPr="007B562B" w:rsidRDefault="00ED052F" w:rsidP="00FF66BF">
      <w:pPr>
        <w:pStyle w:val="Heading2"/>
        <w:tabs>
          <w:tab w:val="left" w:pos="9195"/>
        </w:tabs>
      </w:pPr>
      <w:r w:rsidRPr="007B562B">
        <w:t>Indications</w:t>
      </w:r>
    </w:p>
    <w:p w14:paraId="19DD00E5" w14:textId="0B9E4555" w:rsidR="0003534E" w:rsidRPr="007B562B" w:rsidRDefault="0003534E" w:rsidP="0003534E">
      <w:pPr>
        <w:pStyle w:val="BodyText"/>
      </w:pPr>
      <w:r w:rsidRPr="007B562B">
        <w:rPr>
          <w:rStyle w:val="normaltextrun"/>
          <w:color w:val="000000"/>
          <w:shd w:val="clear" w:color="auto" w:fill="FFFFFF"/>
        </w:rP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AED03AB" w14:textId="00C0C8D5" w:rsidR="00484DD8" w:rsidRPr="007B562B" w:rsidRDefault="00ED052F" w:rsidP="00484DD8">
      <w:pPr>
        <w:pStyle w:val="Heading3"/>
        <w:keepNext w:val="0"/>
      </w:pPr>
      <w:r w:rsidRPr="007B562B">
        <w:t>FDA-approved Indication</w:t>
      </w:r>
      <w:r w:rsidR="005A7010" w:rsidRPr="006272BC">
        <w:rPr>
          <w:vertAlign w:val="superscript"/>
        </w:rPr>
        <w:t>1</w:t>
      </w:r>
    </w:p>
    <w:p w14:paraId="207B7838" w14:textId="03D67395" w:rsidR="00FC2402" w:rsidRPr="004F78D5" w:rsidRDefault="004B556C" w:rsidP="004F78D5">
      <w:pPr>
        <w:pStyle w:val="BodyText"/>
        <w:rPr>
          <w:rStyle w:val="eop"/>
        </w:rPr>
      </w:pPr>
      <w:r w:rsidRPr="004F78D5">
        <w:rPr>
          <w:rStyle w:val="normaltextrun"/>
        </w:rPr>
        <w:t>Trikafta is indicated for the treatment of cystic fibrosis (CF) in patients aged 2 years and older who have at least one F508del mutation in the cystic fibrosis transmembrane conductance regulator (CFTR) gene or a mutation in the CFTR gene that is responsive based on</w:t>
      </w:r>
      <w:r w:rsidR="00CD15C8">
        <w:rPr>
          <w:rStyle w:val="normaltextrun"/>
        </w:rPr>
        <w:t xml:space="preserve"> clinical and/or</w:t>
      </w:r>
      <w:r w:rsidRPr="004F78D5">
        <w:rPr>
          <w:rStyle w:val="normaltextrun"/>
        </w:rPr>
        <w:t xml:space="preserve"> in vitro data.</w:t>
      </w:r>
    </w:p>
    <w:p w14:paraId="215DE126" w14:textId="1C12EDF8" w:rsidR="00235C63" w:rsidRPr="00235C63" w:rsidRDefault="00235C63" w:rsidP="00116D1D">
      <w:pPr>
        <w:pStyle w:val="BodyText"/>
      </w:pPr>
      <w:r w:rsidRPr="00235C63">
        <w:t xml:space="preserve">If the patient’s genotype is unknown, an FDA-cleared CF mutation test should be used to confirm the presence of at least one </w:t>
      </w:r>
      <w:r w:rsidR="00FD0EBD">
        <w:t>indicated mutation</w:t>
      </w:r>
      <w:r w:rsidRPr="00235C63">
        <w:t>.</w:t>
      </w:r>
    </w:p>
    <w:p w14:paraId="15CA6259" w14:textId="0663EA74" w:rsidR="00235C63" w:rsidRPr="00235C63" w:rsidRDefault="00235C63" w:rsidP="00116D1D">
      <w:pPr>
        <w:pStyle w:val="BodyText"/>
      </w:pPr>
      <w:r w:rsidRPr="00235C63">
        <w:t>All other indications are considered experimental/investigational and not medically necessary.</w:t>
      </w:r>
    </w:p>
    <w:p w14:paraId="36381B6D" w14:textId="4893CFE4" w:rsidR="000D2496" w:rsidRPr="007B562B" w:rsidRDefault="000D2496" w:rsidP="00116D1D">
      <w:pPr>
        <w:pStyle w:val="Heading2"/>
        <w:tabs>
          <w:tab w:val="left" w:pos="9435"/>
        </w:tabs>
      </w:pPr>
      <w:r w:rsidRPr="007B562B">
        <w:t>Documentation</w:t>
      </w:r>
    </w:p>
    <w:p w14:paraId="4A53B827" w14:textId="699B2A54" w:rsidR="00484DD8" w:rsidRPr="007B562B" w:rsidRDefault="00484DD8" w:rsidP="004F78D5">
      <w:pPr>
        <w:pStyle w:val="BodyText"/>
        <w:rPr>
          <w:rStyle w:val="eop"/>
          <w:color w:val="000000"/>
          <w:shd w:val="clear" w:color="auto" w:fill="FFFFFF"/>
        </w:rPr>
      </w:pPr>
      <w:r w:rsidRPr="007B562B">
        <w:rPr>
          <w:rStyle w:val="normaltextrun"/>
          <w:color w:val="000000"/>
          <w:shd w:val="clear" w:color="auto" w:fill="FFFFFF"/>
        </w:rPr>
        <w:t>Submission of the following information is necessary to initiate the prior authorization review: For initial requests, genetic testing report confirming the presence of the appropriate</w:t>
      </w:r>
      <w:r w:rsidRPr="00486662">
        <w:rPr>
          <w:rStyle w:val="normaltextrun"/>
          <w:color w:val="000000"/>
          <w:shd w:val="clear" w:color="auto" w:fill="FFFFFF"/>
        </w:rPr>
        <w:t xml:space="preserve"> </w:t>
      </w:r>
      <w:r w:rsidRPr="0078095C">
        <w:rPr>
          <w:rStyle w:val="normaltextrun"/>
          <w:color w:val="000000"/>
          <w:shd w:val="clear" w:color="auto" w:fill="FFFFFF"/>
        </w:rPr>
        <w:t>CFTR</w:t>
      </w:r>
      <w:r w:rsidRPr="007B562B">
        <w:rPr>
          <w:rStyle w:val="normaltextrun"/>
          <w:i/>
          <w:iCs/>
          <w:color w:val="000000"/>
          <w:shd w:val="clear" w:color="auto" w:fill="FFFFFF"/>
        </w:rPr>
        <w:t xml:space="preserve"> </w:t>
      </w:r>
      <w:r w:rsidRPr="007B562B">
        <w:rPr>
          <w:rStyle w:val="normaltextrun"/>
          <w:color w:val="000000"/>
          <w:shd w:val="clear" w:color="auto" w:fill="FFFFFF"/>
        </w:rPr>
        <w:t>gene mutation.</w:t>
      </w:r>
    </w:p>
    <w:p w14:paraId="4A5B15F8" w14:textId="00B3C3D1" w:rsidR="00006174" w:rsidRPr="007B562B" w:rsidRDefault="00006174" w:rsidP="00006174">
      <w:pPr>
        <w:pStyle w:val="Heading2"/>
      </w:pPr>
      <w:r w:rsidRPr="007B562B">
        <w:lastRenderedPageBreak/>
        <w:t>Prescriber Specialties</w:t>
      </w:r>
    </w:p>
    <w:p w14:paraId="065B091E" w14:textId="449425D9" w:rsidR="00006174" w:rsidRPr="004F78D5" w:rsidRDefault="00831245" w:rsidP="004F78D5">
      <w:pPr>
        <w:pStyle w:val="BodyText"/>
      </w:pPr>
      <w:r w:rsidRPr="004F78D5">
        <w:rPr>
          <w:rStyle w:val="normaltextrun"/>
        </w:rPr>
        <w:t>This medication must be prescribed by or in consultation with a pulmonologist.</w:t>
      </w:r>
    </w:p>
    <w:p w14:paraId="50A38FBA" w14:textId="027CDA21" w:rsidR="00FE0C63" w:rsidRPr="007B562B" w:rsidRDefault="00685107" w:rsidP="00E050E1">
      <w:pPr>
        <w:pStyle w:val="Heading2"/>
      </w:pPr>
      <w:r w:rsidRPr="007B562B">
        <w:t>Coverage Criteria</w:t>
      </w:r>
    </w:p>
    <w:p w14:paraId="2A31CA35" w14:textId="3830375E" w:rsidR="00776245" w:rsidRPr="00CD3D40" w:rsidRDefault="00776245" w:rsidP="00A81848">
      <w:pPr>
        <w:pStyle w:val="Heading3"/>
      </w:pPr>
      <w:r w:rsidRPr="00CD3D40">
        <w:t>Cystic Fibrosis</w:t>
      </w:r>
      <w:r w:rsidR="0010409D" w:rsidRPr="006272BC">
        <w:rPr>
          <w:vertAlign w:val="superscript"/>
        </w:rPr>
        <w:t>1</w:t>
      </w:r>
    </w:p>
    <w:p w14:paraId="53270FCC" w14:textId="0AC8C928" w:rsidR="00776245" w:rsidRPr="00776245" w:rsidRDefault="00776245" w:rsidP="00A81848">
      <w:pPr>
        <w:pStyle w:val="BodyText"/>
      </w:pPr>
      <w:r w:rsidRPr="00776245">
        <w:rPr>
          <w:color w:val="000000"/>
        </w:rPr>
        <w:t>Authorization of 12 months may be granted for treatment of cystic fibrosis when all of the following criteria are met:</w:t>
      </w:r>
    </w:p>
    <w:p w14:paraId="51F9F731" w14:textId="53D9BA9B" w:rsidR="00C37D17" w:rsidRDefault="00776245" w:rsidP="00C37D17">
      <w:pPr>
        <w:pStyle w:val="ListParagraph"/>
      </w:pPr>
      <w:r w:rsidRPr="007B562B">
        <w:t>Genetic testing was conducted to detect a mutation in t</w:t>
      </w:r>
      <w:r w:rsidRPr="003271CF">
        <w:t>he CFTR</w:t>
      </w:r>
      <w:r w:rsidRPr="007B562B">
        <w:t xml:space="preserve"> gene.</w:t>
      </w:r>
    </w:p>
    <w:p w14:paraId="76AD23FB" w14:textId="20207C7C" w:rsidR="00C37D17" w:rsidRDefault="00C37D17" w:rsidP="00C37D17">
      <w:pPr>
        <w:pStyle w:val="ListParagraph"/>
        <w:rPr>
          <w:lang w:val="pt-BR"/>
        </w:rPr>
      </w:pPr>
      <w:r w:rsidRPr="00C37D17">
        <w:rPr>
          <w:lang w:val="pt-BR"/>
        </w:rPr>
        <w:t xml:space="preserve">The member has one of the following mutations in the CFTR gene: </w:t>
      </w:r>
      <w:r w:rsidR="003748FC" w:rsidRPr="003748FC">
        <w:t>2789+5G</w:t>
      </w:r>
      <w:r w:rsidR="003748FC" w:rsidRPr="003748FC">
        <w:rPr>
          <w:rFonts w:ascii="Arial" w:hAnsi="Arial"/>
        </w:rPr>
        <w:t>→</w:t>
      </w:r>
      <w:r w:rsidR="003748FC" w:rsidRPr="003748FC">
        <w:t>A</w:t>
      </w:r>
      <w:r w:rsidR="003748FC">
        <w:t xml:space="preserve">, </w:t>
      </w:r>
      <w:r w:rsidR="003748FC" w:rsidRPr="003748FC">
        <w:t>D1152H</w:t>
      </w:r>
      <w:r w:rsidR="003748FC">
        <w:t xml:space="preserve">, </w:t>
      </w:r>
      <w:r w:rsidR="000B69AB">
        <w:t xml:space="preserve">L206W, </w:t>
      </w:r>
      <w:r w:rsidR="000B69AB" w:rsidRPr="000B69AB">
        <w:t>R1066H</w:t>
      </w:r>
      <w:r w:rsidR="000B69AB">
        <w:t xml:space="preserve">, </w:t>
      </w:r>
      <w:r w:rsidR="000B69AB" w:rsidRPr="000B69AB">
        <w:t>S945L</w:t>
      </w:r>
      <w:r w:rsidR="000B69AB">
        <w:t>, 3272-26A</w:t>
      </w:r>
      <w:r w:rsidR="000B69AB">
        <w:rPr>
          <w:rFonts w:ascii="Arial" w:hAnsi="Arial"/>
        </w:rPr>
        <w:t>→</w:t>
      </w:r>
      <w:r w:rsidR="000B69AB">
        <w:t xml:space="preserve">G, </w:t>
      </w:r>
      <w:r w:rsidR="009F49CC">
        <w:t>F508del, L997F, R117C, T338I, 3849+10kbC</w:t>
      </w:r>
      <w:r w:rsidR="009F49CC">
        <w:rPr>
          <w:rFonts w:ascii="Arial" w:hAnsi="Arial"/>
        </w:rPr>
        <w:t>→</w:t>
      </w:r>
      <w:r w:rsidR="009F49CC">
        <w:t xml:space="preserve">T, </w:t>
      </w:r>
      <w:r w:rsidR="00E34C5E">
        <w:t>G85E, M1101K, R347H, V232D, A455E</w:t>
      </w:r>
      <w:r w:rsidR="003F7182">
        <w:t>, L1077P, P5L, R347P</w:t>
      </w:r>
      <w:r w:rsidR="001C3883">
        <w:t>, N1303K, 1507_1515del9, 2183A</w:t>
      </w:r>
      <w:r w:rsidR="001C3883">
        <w:rPr>
          <w:rFonts w:ascii="Arial" w:hAnsi="Arial"/>
        </w:rPr>
        <w:t>→</w:t>
      </w:r>
      <w:r w:rsidR="001C3883">
        <w:t>G, 3141del9, 546insCTA</w:t>
      </w:r>
      <w:r w:rsidR="009715A5">
        <w:t>, A1006E, A1067P, A1067T, A107G, A120T, A234D, A309D</w:t>
      </w:r>
      <w:r w:rsidR="001D0A96">
        <w:t>, A349V, A46D, A554E, A62P, C491R, D110E, D110H</w:t>
      </w:r>
      <w:r w:rsidR="00871E66">
        <w:t xml:space="preserve">, D1270N, D1445N, D192G, D443Y, D443Y;G576A;R668C, </w:t>
      </w:r>
      <w:r w:rsidR="008D7228">
        <w:t xml:space="preserve">D565G, D579G, </w:t>
      </w:r>
      <w:r w:rsidR="000E49B4">
        <w:t>D614G, D836Y, D924N, D979V, D993Y</w:t>
      </w:r>
      <w:r w:rsidR="009D3D51">
        <w:t>, E116K, E116Q, E193K, E292K, E403D, E474K</w:t>
      </w:r>
      <w:r w:rsidR="00A811E9">
        <w:t>, E56K, E588V, E60K, E822K, E92K, F1016S</w:t>
      </w:r>
      <w:r w:rsidR="000F6F0F">
        <w:t>, F1052V, F1074L, F1099L, F1107L, F191V, F200I</w:t>
      </w:r>
      <w:r w:rsidR="002378C5">
        <w:t>, F311del</w:t>
      </w:r>
      <w:r w:rsidR="009A4CD3">
        <w:t>, F311L</w:t>
      </w:r>
      <w:r w:rsidR="0008341E">
        <w:t>, F508C, F508C;S1251N, F575Y, F587I, G1047R, G1061R, G1069R, G1123R, G1244E</w:t>
      </w:r>
      <w:r w:rsidR="009C11EB">
        <w:t>, G1247R, G1249R, G126D, G1349D, G178E, G178R, G194R, G194V, G27E, G27R, G314E, G424S</w:t>
      </w:r>
      <w:r w:rsidR="008F3113">
        <w:t>, G463V, G480C, G480S, G551A, G551D, G551S, G576A, G576A;R668C, G622D, G628R</w:t>
      </w:r>
      <w:r w:rsidR="0076779F">
        <w:t xml:space="preserve">, G970D, G970S, H1054D, H1085P, H1085R, H1375P, H139R, H199Y, H620P, H620Q, H939R, H939R;H949L, I1027T, </w:t>
      </w:r>
      <w:r w:rsidR="006641A8">
        <w:t>I105N, I1139V, I125T, I1269N, I1366N, I148N, I148T, I175V, I331N, I336K</w:t>
      </w:r>
      <w:r w:rsidR="00B81F1F">
        <w:t>, I502T, I506L, I556V, I601F, I618T, I807M, I980K, K1060T, K162E</w:t>
      </w:r>
      <w:r w:rsidR="00F86907">
        <w:t>, K464E, L1011S, L1324P, L1335P, L137P</w:t>
      </w:r>
      <w:r w:rsidR="009A6AB8">
        <w:t>, L1480P, L15P, L165S, L320V, L333F, L333H, L346P, L441P, L453S, L619S</w:t>
      </w:r>
      <w:r w:rsidR="00946FB2">
        <w:t>, L967S, M1137V, M150K, M152V, M265R, M952I, M952T</w:t>
      </w:r>
      <w:r w:rsidR="007668AB">
        <w:t>, N1088D, N1303I, N186K, N187K, N418S, P140S, P205S</w:t>
      </w:r>
      <w:r w:rsidR="00A13259">
        <w:t>, P499A</w:t>
      </w:r>
      <w:r w:rsidR="002B628A">
        <w:t>, P574H</w:t>
      </w:r>
      <w:r w:rsidR="0044278B">
        <w:t>, P67L, P750L, Q1291R, Q1313K, Q237E, Q237H, Q359R, Q372H, Q493R, Q552P, Q98R, R1048G, R1070Q, R1070W, R1162L</w:t>
      </w:r>
      <w:r w:rsidR="009E5683">
        <w:t>, R117C;G576A;R668C, R117G, R117H, R117L, R117P, R1283M, R1283S, R170H, R258G, R297Q, R31C, R31L, R334L, R334Q, R347L, R352Q, R352W, R516S, R553Q</w:t>
      </w:r>
      <w:r w:rsidR="00BE5635">
        <w:t>, R555G</w:t>
      </w:r>
      <w:r w:rsidR="00255EB5">
        <w:t>, R668C, R709Q, R74Q, R74W, R74W;D1270N, R74W;V201M</w:t>
      </w:r>
      <w:r w:rsidR="002A5480">
        <w:t>, R74W;V201M;D1270N, R751L, R75L, R75Q, R792G, R933G</w:t>
      </w:r>
      <w:r w:rsidR="00C53023">
        <w:t>, S1045Y, S108F, S1118F, S1159F, S1159P, S1235R, S1251N</w:t>
      </w:r>
      <w:r w:rsidR="00383642">
        <w:t>, S1255P, S13F, S341P, S364P, S492F, S549I, S549N</w:t>
      </w:r>
      <w:r w:rsidR="00ED5AD5">
        <w:t>, S549R, S589N, S737F, S912L, S977F, T1036N</w:t>
      </w:r>
      <w:r w:rsidR="00256F4C">
        <w:t>, T1053I, T1086I, T1246I, T1299I, T351I, V1153E, V1240G, V1293G</w:t>
      </w:r>
      <w:r w:rsidR="007A27A3">
        <w:t>, V201M, V392G, V456A, V456F, V562I</w:t>
      </w:r>
      <w:r w:rsidR="0025003D">
        <w:t>, V603F, V754M, W1098C, W1282R, W361R, Y1014C, Y1032C</w:t>
      </w:r>
      <w:r w:rsidR="0001279F">
        <w:t>, Y109N, Y161D, Y161S, Y301C, Y563N, 4005+2T</w:t>
      </w:r>
      <w:r w:rsidR="0001279F">
        <w:rPr>
          <w:rFonts w:ascii="Arial" w:hAnsi="Arial"/>
        </w:rPr>
        <w:t>→</w:t>
      </w:r>
      <w:r w:rsidR="0001279F">
        <w:t>C</w:t>
      </w:r>
      <w:r w:rsidR="00020893">
        <w:t>, 1341G</w:t>
      </w:r>
      <w:r w:rsidR="00020893">
        <w:rPr>
          <w:rFonts w:ascii="Arial" w:hAnsi="Arial"/>
        </w:rPr>
        <w:t>→</w:t>
      </w:r>
      <w:r w:rsidR="00020893">
        <w:t>A, 1898+3A</w:t>
      </w:r>
      <w:r w:rsidR="00020893">
        <w:rPr>
          <w:rFonts w:ascii="Arial" w:hAnsi="Arial"/>
        </w:rPr>
        <w:t>→</w:t>
      </w:r>
      <w:r w:rsidR="00020893">
        <w:t>G, 2752-26A</w:t>
      </w:r>
      <w:r w:rsidR="00020893">
        <w:rPr>
          <w:rFonts w:ascii="Arial" w:hAnsi="Arial"/>
        </w:rPr>
        <w:t>→</w:t>
      </w:r>
      <w:r w:rsidR="00020893">
        <w:t>G, 2789+2insA, 296+28A</w:t>
      </w:r>
      <w:r w:rsidR="00020893">
        <w:rPr>
          <w:rFonts w:ascii="Arial" w:hAnsi="Arial"/>
        </w:rPr>
        <w:t>→</w:t>
      </w:r>
      <w:r w:rsidR="00020893">
        <w:t>G</w:t>
      </w:r>
      <w:r w:rsidR="008315B1">
        <w:t>, 3041-15T</w:t>
      </w:r>
      <w:r w:rsidR="008315B1">
        <w:rPr>
          <w:rFonts w:ascii="Arial" w:hAnsi="Arial"/>
        </w:rPr>
        <w:t>→</w:t>
      </w:r>
      <w:r w:rsidR="008315B1">
        <w:t>G, 3600G</w:t>
      </w:r>
      <w:r w:rsidR="008315B1">
        <w:rPr>
          <w:rFonts w:ascii="Arial" w:hAnsi="Arial"/>
        </w:rPr>
        <w:t>→</w:t>
      </w:r>
      <w:r w:rsidR="008315B1">
        <w:t>A, 3849+40A</w:t>
      </w:r>
      <w:r w:rsidR="008315B1">
        <w:rPr>
          <w:rFonts w:ascii="Arial" w:hAnsi="Arial"/>
        </w:rPr>
        <w:t>→</w:t>
      </w:r>
      <w:r w:rsidR="008315B1">
        <w:t>G,</w:t>
      </w:r>
      <w:r w:rsidR="008315B1" w:rsidRPr="008315B1">
        <w:t xml:space="preserve"> </w:t>
      </w:r>
      <w:r w:rsidR="008315B1">
        <w:t>3849+4A</w:t>
      </w:r>
      <w:r w:rsidR="008315B1">
        <w:rPr>
          <w:rFonts w:ascii="Arial" w:hAnsi="Arial"/>
        </w:rPr>
        <w:t>→</w:t>
      </w:r>
      <w:r w:rsidR="008315B1">
        <w:t>G, 3850-3T</w:t>
      </w:r>
      <w:r w:rsidR="008315B1">
        <w:rPr>
          <w:rFonts w:ascii="Arial" w:hAnsi="Arial"/>
        </w:rPr>
        <w:t>→</w:t>
      </w:r>
      <w:r w:rsidR="008315B1">
        <w:t>G</w:t>
      </w:r>
      <w:r w:rsidR="002C6021">
        <w:t>, 5T;TG12, 5T;TG13, 621+3A</w:t>
      </w:r>
      <w:r w:rsidR="002C6021">
        <w:rPr>
          <w:rFonts w:ascii="Arial" w:hAnsi="Arial"/>
        </w:rPr>
        <w:t>→</w:t>
      </w:r>
      <w:r w:rsidR="002C6021">
        <w:t>G</w:t>
      </w:r>
      <w:r w:rsidR="00E52ACC">
        <w:t>, 711+3A</w:t>
      </w:r>
      <w:r w:rsidR="00E52ACC">
        <w:rPr>
          <w:rFonts w:ascii="Arial" w:hAnsi="Arial"/>
        </w:rPr>
        <w:t>→</w:t>
      </w:r>
      <w:r w:rsidR="00E52ACC">
        <w:t>G, E831X</w:t>
      </w:r>
      <w:r w:rsidR="00C910B1">
        <w:t>.</w:t>
      </w:r>
    </w:p>
    <w:p w14:paraId="691BE989" w14:textId="62D8AA2F" w:rsidR="00C37D17" w:rsidRDefault="00776245" w:rsidP="00C37D17">
      <w:pPr>
        <w:pStyle w:val="ListParagraph"/>
      </w:pPr>
      <w:r w:rsidRPr="00776245">
        <w:t>The member is at least 2 years of age.</w:t>
      </w:r>
    </w:p>
    <w:p w14:paraId="3A643EC3" w14:textId="1A03DF38" w:rsidR="00A501AC" w:rsidRPr="007B562B" w:rsidRDefault="00A501AC" w:rsidP="006272BC">
      <w:pPr>
        <w:pStyle w:val="Heading2"/>
      </w:pPr>
      <w:r w:rsidRPr="007B562B">
        <w:lastRenderedPageBreak/>
        <w:t>Continuation of Therapy</w:t>
      </w:r>
    </w:p>
    <w:p w14:paraId="69FAC747" w14:textId="21972D41" w:rsidR="00201B43" w:rsidRDefault="00201B43" w:rsidP="003D46B0">
      <w:pPr>
        <w:pStyle w:val="BodyText"/>
        <w:rPr>
          <w:rStyle w:val="normaltextrun"/>
          <w:color w:val="000000"/>
          <w:shd w:val="clear" w:color="auto" w:fill="FFFFFF"/>
        </w:rPr>
      </w:pPr>
      <w:r w:rsidRPr="00201B43">
        <w:rPr>
          <w:rStyle w:val="normaltextrun"/>
          <w:color w:val="000000"/>
          <w:shd w:val="clear" w:color="auto" w:fill="FFFFFF"/>
        </w:rPr>
        <w:t xml:space="preserve">Authorization of 12 months may be granted for continued treatment in members requesting reauthorization for an indication listed in </w:t>
      </w:r>
      <w:r w:rsidR="00BA1B3B">
        <w:rPr>
          <w:rStyle w:val="normaltextrun"/>
          <w:color w:val="000000"/>
          <w:shd w:val="clear" w:color="auto" w:fill="FFFFFF"/>
        </w:rPr>
        <w:t>the coverage criteria section</w:t>
      </w:r>
      <w:r w:rsidRPr="00201B43">
        <w:rPr>
          <w:rStyle w:val="normaltextrun"/>
          <w:color w:val="000000"/>
          <w:shd w:val="clear" w:color="auto" w:fill="FFFFFF"/>
        </w:rPr>
        <w:t xml:space="preserve"> who are experiencing benefit from therapy as evidenced by disease stability or disease improvement (e.g., improvement in FEV1 from baseline).</w:t>
      </w:r>
    </w:p>
    <w:p w14:paraId="76965F7E" w14:textId="77777777" w:rsidR="00705F0A" w:rsidRPr="000E0356" w:rsidRDefault="00705F0A" w:rsidP="00705F0A">
      <w:pPr>
        <w:pStyle w:val="Heading2"/>
        <w:rPr>
          <w:vertAlign w:val="superscript"/>
        </w:rPr>
      </w:pPr>
      <w:r w:rsidRPr="000E0356">
        <w:t>Other</w:t>
      </w:r>
    </w:p>
    <w:p w14:paraId="35BB897D" w14:textId="60551298" w:rsidR="00705F0A" w:rsidRDefault="00705F0A" w:rsidP="003D46B0">
      <w:pPr>
        <w:pStyle w:val="BodyText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Trikafta will not be used in combination with another CFTR modulator for the treatment of cystic fibrosis (e.g., Alyftrek, Kalydeco).</w:t>
      </w:r>
    </w:p>
    <w:p w14:paraId="10DA4309" w14:textId="7EE53ACA" w:rsidR="00FF66BF" w:rsidRPr="007B562B" w:rsidRDefault="00FF66BF" w:rsidP="00FF66BF">
      <w:pPr>
        <w:pStyle w:val="Heading2"/>
      </w:pPr>
      <w:r w:rsidRPr="007B562B">
        <w:t>Reference</w:t>
      </w:r>
    </w:p>
    <w:p w14:paraId="26E25A0F" w14:textId="5475DB14" w:rsidR="00FF66BF" w:rsidRDefault="004D38CE" w:rsidP="001776AE">
      <w:pPr>
        <w:pStyle w:val="ReferenceOrdered"/>
        <w:rPr>
          <w:rStyle w:val="eop"/>
        </w:rPr>
      </w:pPr>
      <w:r w:rsidRPr="001776AE">
        <w:rPr>
          <w:rStyle w:val="normaltextrun"/>
        </w:rPr>
        <w:t xml:space="preserve">Trikafta [package insert]. Boston, MA: Vertex Pharmaceuticals </w:t>
      </w:r>
      <w:r w:rsidR="00A92F2E" w:rsidRPr="00A92F2E">
        <w:t>Incorporated</w:t>
      </w:r>
      <w:r w:rsidR="0078095C">
        <w:t>; December 2024</w:t>
      </w:r>
      <w:r w:rsidRPr="001776AE">
        <w:rPr>
          <w:rStyle w:val="normaltextrun"/>
        </w:rPr>
        <w:t>.</w:t>
      </w:r>
    </w:p>
    <w:sectPr w:rsidR="00FF66BF" w:rsidSect="006272BC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12575" w14:textId="77777777" w:rsidR="005F1222" w:rsidRDefault="005F1222">
      <w:r>
        <w:separator/>
      </w:r>
    </w:p>
  </w:endnote>
  <w:endnote w:type="continuationSeparator" w:id="0">
    <w:p w14:paraId="6AA693D5" w14:textId="77777777" w:rsidR="005F1222" w:rsidRDefault="005F1222">
      <w:r>
        <w:continuationSeparator/>
      </w:r>
    </w:p>
  </w:endnote>
  <w:endnote w:type="continuationNotice" w:id="1">
    <w:p w14:paraId="08E37899" w14:textId="77777777" w:rsidR="005F1222" w:rsidRDefault="005F1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DB3A" w14:textId="13A70416" w:rsidR="003C3893" w:rsidRPr="00EC47B6" w:rsidRDefault="003C3893" w:rsidP="003C389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70AF4">
      <w:rPr>
        <w:rFonts w:cs="Arial"/>
        <w:noProof/>
        <w:snapToGrid w:val="0"/>
        <w:color w:val="000000"/>
        <w:sz w:val="16"/>
        <w:szCs w:val="16"/>
      </w:rPr>
      <w:t>Trikafta SGM</w:t>
    </w:r>
    <w:r w:rsidR="00670AF4" w:rsidRPr="00670AF4">
      <w:rPr>
        <w:rFonts w:cs="Arial"/>
        <w:noProof/>
        <w:sz w:val="16"/>
        <w:szCs w:val="16"/>
      </w:rPr>
      <w:t xml:space="preserve"> 3374-A</w:t>
    </w:r>
    <w:r w:rsidR="00670AF4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85FF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FAD425E" w14:textId="77777777" w:rsidR="003C3893" w:rsidRPr="00EC47B6" w:rsidRDefault="003C3893" w:rsidP="003C389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576907F" w:rsidR="00F75C81" w:rsidRPr="007B562B" w:rsidRDefault="003C3893" w:rsidP="006272BC">
    <w:pPr>
      <w:jc w:val="center"/>
      <w:textAlignment w:val="baseline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4541DA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E4D44">
      <w:rPr>
        <w:rFonts w:cs="Arial"/>
        <w:noProof/>
        <w:snapToGrid w:val="0"/>
        <w:color w:val="000000"/>
        <w:sz w:val="16"/>
        <w:szCs w:val="16"/>
      </w:rPr>
      <w:t>Trikafta SGM</w:t>
    </w:r>
    <w:r w:rsidR="001E4D44" w:rsidRPr="001E4D44">
      <w:rPr>
        <w:rFonts w:cs="Arial"/>
        <w:noProof/>
        <w:sz w:val="16"/>
        <w:szCs w:val="16"/>
      </w:rPr>
      <w:t xml:space="preserve"> 3374-A</w:t>
    </w:r>
    <w:r w:rsidR="001E4D44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54F3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41ACB8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07AB7B7" w:rsidR="00ED04EC" w:rsidRPr="00F50D98" w:rsidRDefault="00F50D98" w:rsidP="006272B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30C55" w14:textId="77777777" w:rsidR="005F1222" w:rsidRDefault="005F1222">
      <w:r>
        <w:separator/>
      </w:r>
    </w:p>
  </w:footnote>
  <w:footnote w:type="continuationSeparator" w:id="0">
    <w:p w14:paraId="553BEB14" w14:textId="77777777" w:rsidR="005F1222" w:rsidRDefault="005F1222">
      <w:r>
        <w:continuationSeparator/>
      </w:r>
    </w:p>
  </w:footnote>
  <w:footnote w:type="continuationNotice" w:id="1">
    <w:p w14:paraId="4AC390C0" w14:textId="77777777" w:rsidR="005F1222" w:rsidRDefault="005F12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D31A979" w:rsidR="00ED04EC" w:rsidRPr="00AA1E6A" w:rsidRDefault="00AB0C7D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 w:rsidRPr="006272BC">
            <w:rPr>
              <w:rFonts w:ascii="Arial" w:hAnsi="Arial" w:cs="Arial"/>
              <w:sz w:val="16"/>
              <w:szCs w:val="16"/>
            </w:rPr>
            <w:t>3374-A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B1A29"/>
    <w:multiLevelType w:val="multilevel"/>
    <w:tmpl w:val="8DD489A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2D80FCE"/>
    <w:multiLevelType w:val="multilevel"/>
    <w:tmpl w:val="17A6B1E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E681FF1"/>
    <w:multiLevelType w:val="multilevel"/>
    <w:tmpl w:val="3598997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368F8"/>
    <w:multiLevelType w:val="hybridMultilevel"/>
    <w:tmpl w:val="317C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9748C"/>
    <w:multiLevelType w:val="hybridMultilevel"/>
    <w:tmpl w:val="8D64A9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1B8"/>
    <w:multiLevelType w:val="multilevel"/>
    <w:tmpl w:val="ED14966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9"/>
  </w:num>
  <w:num w:numId="26" w16cid:durableId="1734694099">
    <w:abstractNumId w:val="11"/>
  </w:num>
  <w:num w:numId="27" w16cid:durableId="1483237694">
    <w:abstractNumId w:val="28"/>
  </w:num>
  <w:num w:numId="28" w16cid:durableId="860165309">
    <w:abstractNumId w:val="14"/>
  </w:num>
  <w:num w:numId="29" w16cid:durableId="1445924276">
    <w:abstractNumId w:val="16"/>
  </w:num>
  <w:num w:numId="30" w16cid:durableId="1799567491">
    <w:abstractNumId w:val="21"/>
  </w:num>
  <w:num w:numId="31" w16cid:durableId="74923520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3F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79F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893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34E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2ED8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41E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8FC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69AB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49B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6F0F"/>
    <w:rsid w:val="000F75BA"/>
    <w:rsid w:val="001012A6"/>
    <w:rsid w:val="00101748"/>
    <w:rsid w:val="00101C90"/>
    <w:rsid w:val="00101D40"/>
    <w:rsid w:val="0010327C"/>
    <w:rsid w:val="00103E4B"/>
    <w:rsid w:val="00103E71"/>
    <w:rsid w:val="0010409D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D1D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DAC"/>
    <w:rsid w:val="00150AFC"/>
    <w:rsid w:val="00151DA8"/>
    <w:rsid w:val="00152135"/>
    <w:rsid w:val="00153164"/>
    <w:rsid w:val="00154B0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4E7"/>
    <w:rsid w:val="001776AE"/>
    <w:rsid w:val="0018072F"/>
    <w:rsid w:val="00180A53"/>
    <w:rsid w:val="00181BB0"/>
    <w:rsid w:val="00182BBD"/>
    <w:rsid w:val="00182C96"/>
    <w:rsid w:val="0018342C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81A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883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A96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5DF4"/>
    <w:rsid w:val="001D694B"/>
    <w:rsid w:val="001E0D36"/>
    <w:rsid w:val="001E43E4"/>
    <w:rsid w:val="001E4D4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1B43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C63"/>
    <w:rsid w:val="00235FEF"/>
    <w:rsid w:val="002378C5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03D"/>
    <w:rsid w:val="002504F9"/>
    <w:rsid w:val="00250C39"/>
    <w:rsid w:val="00250E25"/>
    <w:rsid w:val="0025145E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5EB5"/>
    <w:rsid w:val="002568ED"/>
    <w:rsid w:val="00256F4C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347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2B42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480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28A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021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7AD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5E4D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1CF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421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8F9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8FC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3642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5D37"/>
    <w:rsid w:val="00396A5B"/>
    <w:rsid w:val="00396D00"/>
    <w:rsid w:val="00397E6C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893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182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6B6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78B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4AB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4DD8"/>
    <w:rsid w:val="0048525A"/>
    <w:rsid w:val="00485778"/>
    <w:rsid w:val="00485AD8"/>
    <w:rsid w:val="00485EC2"/>
    <w:rsid w:val="0048627F"/>
    <w:rsid w:val="00486662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3F43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F69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56C"/>
    <w:rsid w:val="004B5614"/>
    <w:rsid w:val="004B5877"/>
    <w:rsid w:val="004B5B65"/>
    <w:rsid w:val="004B758F"/>
    <w:rsid w:val="004C00B9"/>
    <w:rsid w:val="004C03AC"/>
    <w:rsid w:val="004C083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8CE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8D5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260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010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6D4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222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2BC"/>
    <w:rsid w:val="006278F4"/>
    <w:rsid w:val="00627B98"/>
    <w:rsid w:val="00631305"/>
    <w:rsid w:val="00631B26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1A8"/>
    <w:rsid w:val="00665820"/>
    <w:rsid w:val="00666579"/>
    <w:rsid w:val="00666A21"/>
    <w:rsid w:val="00666FFD"/>
    <w:rsid w:val="00667755"/>
    <w:rsid w:val="00667944"/>
    <w:rsid w:val="00670A4F"/>
    <w:rsid w:val="00670AF4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D2A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F0A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68AB"/>
    <w:rsid w:val="0076779F"/>
    <w:rsid w:val="007704F3"/>
    <w:rsid w:val="007710F2"/>
    <w:rsid w:val="007716E9"/>
    <w:rsid w:val="00772F73"/>
    <w:rsid w:val="00773060"/>
    <w:rsid w:val="00773513"/>
    <w:rsid w:val="0077365E"/>
    <w:rsid w:val="007741BD"/>
    <w:rsid w:val="0077473F"/>
    <w:rsid w:val="00775C9E"/>
    <w:rsid w:val="00776245"/>
    <w:rsid w:val="007775AA"/>
    <w:rsid w:val="00777708"/>
    <w:rsid w:val="007778B0"/>
    <w:rsid w:val="00777BDA"/>
    <w:rsid w:val="0078095C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27A3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62B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3608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4F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245"/>
    <w:rsid w:val="008313C2"/>
    <w:rsid w:val="008315B1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1E66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6C7"/>
    <w:rsid w:val="008A08A4"/>
    <w:rsid w:val="008A15EC"/>
    <w:rsid w:val="008A4526"/>
    <w:rsid w:val="008A4B15"/>
    <w:rsid w:val="008A4CB3"/>
    <w:rsid w:val="008A4D3F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228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113"/>
    <w:rsid w:val="008F4B96"/>
    <w:rsid w:val="008F53E8"/>
    <w:rsid w:val="008F58D0"/>
    <w:rsid w:val="008F5F59"/>
    <w:rsid w:val="008F640B"/>
    <w:rsid w:val="008F79F2"/>
    <w:rsid w:val="008F7B57"/>
    <w:rsid w:val="00901DCA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FB2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4F36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5A5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896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4CD3"/>
    <w:rsid w:val="009A53DE"/>
    <w:rsid w:val="009A5649"/>
    <w:rsid w:val="009A6AB8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11EB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833"/>
    <w:rsid w:val="009D3D51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5683"/>
    <w:rsid w:val="009E6C19"/>
    <w:rsid w:val="009E6E2F"/>
    <w:rsid w:val="009F0845"/>
    <w:rsid w:val="009F1EDE"/>
    <w:rsid w:val="009F2CEE"/>
    <w:rsid w:val="009F2EF1"/>
    <w:rsid w:val="009F3F1F"/>
    <w:rsid w:val="009F426B"/>
    <w:rsid w:val="009F49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2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4DA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11E9"/>
    <w:rsid w:val="00A81848"/>
    <w:rsid w:val="00A82509"/>
    <w:rsid w:val="00A82DDB"/>
    <w:rsid w:val="00A83FA7"/>
    <w:rsid w:val="00A84AD9"/>
    <w:rsid w:val="00A84CB5"/>
    <w:rsid w:val="00A85D18"/>
    <w:rsid w:val="00A85FFD"/>
    <w:rsid w:val="00A8608E"/>
    <w:rsid w:val="00A86211"/>
    <w:rsid w:val="00A87B90"/>
    <w:rsid w:val="00A87BF7"/>
    <w:rsid w:val="00A9069E"/>
    <w:rsid w:val="00A923EA"/>
    <w:rsid w:val="00A92F2E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0C7D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617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551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1F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9B7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7C5"/>
    <w:rsid w:val="00BA11F3"/>
    <w:rsid w:val="00BA185E"/>
    <w:rsid w:val="00BA1B3B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C7C07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635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37D17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4ECA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02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5C04"/>
    <w:rsid w:val="00C86B76"/>
    <w:rsid w:val="00C86EE2"/>
    <w:rsid w:val="00C87920"/>
    <w:rsid w:val="00C87C25"/>
    <w:rsid w:val="00C87D04"/>
    <w:rsid w:val="00C903CD"/>
    <w:rsid w:val="00C9046D"/>
    <w:rsid w:val="00C904DC"/>
    <w:rsid w:val="00C910B1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5C8"/>
    <w:rsid w:val="00CD1B5B"/>
    <w:rsid w:val="00CD3C27"/>
    <w:rsid w:val="00CD3D40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A17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B16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C5E"/>
    <w:rsid w:val="00E34E1E"/>
    <w:rsid w:val="00E3570D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B9A"/>
    <w:rsid w:val="00E521C7"/>
    <w:rsid w:val="00E525F8"/>
    <w:rsid w:val="00E52ACC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9EE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3DF"/>
    <w:rsid w:val="00EA706A"/>
    <w:rsid w:val="00EA72E4"/>
    <w:rsid w:val="00EB0299"/>
    <w:rsid w:val="00EB0E6B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44F"/>
    <w:rsid w:val="00ED28C4"/>
    <w:rsid w:val="00ED334E"/>
    <w:rsid w:val="00ED3A2A"/>
    <w:rsid w:val="00ED5AD5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4C91"/>
    <w:rsid w:val="00F54CD2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09FB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6907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950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402"/>
    <w:rsid w:val="00FC2ADB"/>
    <w:rsid w:val="00FC2E5F"/>
    <w:rsid w:val="00FC385D"/>
    <w:rsid w:val="00FC5D44"/>
    <w:rsid w:val="00FC6523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0EBD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158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tabchar">
    <w:name w:val="tabchar"/>
    <w:basedOn w:val="DefaultParagraphFont"/>
    <w:rsid w:val="007B562B"/>
  </w:style>
  <w:style w:type="character" w:customStyle="1" w:styleId="scxw92904358">
    <w:name w:val="scxw92904358"/>
    <w:basedOn w:val="DefaultParagraphFont"/>
    <w:rsid w:val="007B5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ADAFC1-44FC-4B9E-B304-8D2580AC43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Trikafta SGM 3374-A</vt:lpstr>
    </vt:vector>
  </TitlesOfParts>
  <Company>CVS Caremark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Trikafta SGM 3374-A</dc:title>
  <dc:subject>Trikafta SGM 3374-A</dc:subject>
  <dc:creator>CVS Caremark</dc:creator>
  <cp:keywords/>
  <cp:lastModifiedBy>Reynoso, Victor H</cp:lastModifiedBy>
  <cp:revision>12</cp:revision>
  <cp:lastPrinted>2018-01-09T05:01:00Z</cp:lastPrinted>
  <dcterms:created xsi:type="dcterms:W3CDTF">2025-01-08T17:42:00Z</dcterms:created>
  <dcterms:modified xsi:type="dcterms:W3CDTF">2025-05-05T20:10:00Z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306500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